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E9F" w:rsidRPr="00351BA4" w:rsidRDefault="00810E9F" w:rsidP="00810E9F">
      <w:pPr>
        <w:pStyle w:val="1"/>
      </w:pPr>
      <w:bookmarkStart w:id="0" w:name="_Toc320691121"/>
      <w:bookmarkStart w:id="1" w:name="_Toc96943512"/>
      <w:bookmarkStart w:id="2" w:name="_Toc501462987"/>
      <w:r>
        <w:t>7</w:t>
      </w:r>
      <w:r w:rsidRPr="003806D9">
        <w:t xml:space="preserve">. </w:t>
      </w:r>
      <w:bookmarkEnd w:id="0"/>
      <w:r>
        <w:t>ОПИСАНИЕ</w:t>
      </w:r>
      <w:r w:rsidRPr="003806D9">
        <w:t xml:space="preserve"> </w:t>
      </w:r>
      <w:r>
        <w:t>ИМУЩЕСТВЕННОГО КОМПЛЕКСА</w:t>
      </w:r>
      <w:bookmarkEnd w:id="1"/>
      <w:r w:rsidRPr="003806D9">
        <w:t xml:space="preserve"> </w:t>
      </w:r>
      <w:bookmarkEnd w:id="2"/>
    </w:p>
    <w:p w:rsidR="00810E9F" w:rsidRPr="003806D9" w:rsidRDefault="00810E9F" w:rsidP="00810E9F">
      <w:pPr>
        <w:pStyle w:val="a5"/>
        <w:shd w:val="clear" w:color="auto" w:fill="FFFFFF"/>
        <w:spacing w:before="0" w:beforeAutospacing="0" w:after="0" w:afterAutospacing="0"/>
        <w:ind w:firstLine="851"/>
      </w:pPr>
    </w:p>
    <w:p w:rsidR="00810E9F" w:rsidRDefault="00810E9F" w:rsidP="00810E9F">
      <w:pPr>
        <w:autoSpaceDE w:val="0"/>
        <w:autoSpaceDN w:val="0"/>
        <w:adjustRightInd w:val="0"/>
        <w:rPr>
          <w:rFonts w:eastAsia="Calibri"/>
          <w:snapToGrid/>
          <w:szCs w:val="24"/>
        </w:rPr>
      </w:pPr>
    </w:p>
    <w:p w:rsidR="00810E9F" w:rsidRPr="009F293C" w:rsidRDefault="00810E9F" w:rsidP="00810E9F">
      <w:pPr>
        <w:pBdr>
          <w:left w:val="single" w:sz="12" w:space="4" w:color="95B0D3"/>
        </w:pBdr>
        <w:ind w:left="709"/>
        <w:rPr>
          <w:i/>
        </w:rPr>
      </w:pPr>
      <w:r>
        <w:rPr>
          <w:i/>
        </w:rPr>
        <w:t xml:space="preserve">Описание имущественного комплекса </w:t>
      </w:r>
      <w:r w:rsidRPr="00341135">
        <w:rPr>
          <w:i/>
        </w:rPr>
        <w:t xml:space="preserve">производится на основании документов, предоставленных </w:t>
      </w:r>
      <w:r>
        <w:rPr>
          <w:i/>
        </w:rPr>
        <w:t>з</w:t>
      </w:r>
      <w:r w:rsidRPr="00341135">
        <w:rPr>
          <w:i/>
        </w:rPr>
        <w:t xml:space="preserve">аказчиком оценки, а также на основании произведенного осмотра </w:t>
      </w:r>
      <w:r>
        <w:rPr>
          <w:i/>
        </w:rPr>
        <w:t>с учетом устных и телефонных переговоров с представителями оцениваемого предприятия.</w:t>
      </w:r>
    </w:p>
    <w:p w:rsidR="00810E9F" w:rsidRDefault="00810E9F" w:rsidP="00810E9F">
      <w:pPr>
        <w:ind w:firstLine="709"/>
        <w:rPr>
          <w:szCs w:val="24"/>
        </w:rPr>
      </w:pPr>
    </w:p>
    <w:p w:rsidR="00810E9F" w:rsidRDefault="00810E9F" w:rsidP="00810E9F">
      <w:pPr>
        <w:ind w:firstLine="709"/>
        <w:rPr>
          <w:szCs w:val="24"/>
        </w:rPr>
      </w:pPr>
      <w:r w:rsidRPr="00254C2E">
        <w:rPr>
          <w:szCs w:val="24"/>
        </w:rPr>
        <w:t xml:space="preserve">Объектом оценки является </w:t>
      </w:r>
      <w:r w:rsidRPr="004E2F3B">
        <w:rPr>
          <w:szCs w:val="24"/>
        </w:rPr>
        <w:t xml:space="preserve">предприятие как имущественный комплекс, сформированный из перечня имущества и имущественных прав, </w:t>
      </w:r>
      <w:r>
        <w:rPr>
          <w:szCs w:val="24"/>
        </w:rPr>
        <w:t xml:space="preserve">входящих в состав </w:t>
      </w:r>
      <w:r w:rsidRPr="00560A78">
        <w:rPr>
          <w:szCs w:val="24"/>
        </w:rPr>
        <w:t>ООО «</w:t>
      </w:r>
      <w:proofErr w:type="spellStart"/>
      <w:r w:rsidRPr="00560A78">
        <w:rPr>
          <w:szCs w:val="24"/>
        </w:rPr>
        <w:t>Трайпл</w:t>
      </w:r>
      <w:proofErr w:type="spellEnd"/>
      <w:r w:rsidRPr="00560A78">
        <w:rPr>
          <w:szCs w:val="24"/>
        </w:rPr>
        <w:t>» Горнолыжный спортивно-оздоровительный комплекс «Логойск»</w:t>
      </w:r>
      <w:r>
        <w:rPr>
          <w:color w:val="000000"/>
          <w:lang w:bidi="ru-RU"/>
        </w:rPr>
        <w:t>.</w:t>
      </w:r>
      <w:r w:rsidRPr="00A15D5E">
        <w:rPr>
          <w:szCs w:val="24"/>
        </w:rPr>
        <w:t xml:space="preserve"> </w:t>
      </w:r>
    </w:p>
    <w:p w:rsidR="00810E9F" w:rsidRPr="00560A78" w:rsidRDefault="00810E9F" w:rsidP="00810E9F">
      <w:pPr>
        <w:ind w:firstLine="709"/>
        <w:rPr>
          <w:szCs w:val="24"/>
        </w:rPr>
      </w:pPr>
      <w:r>
        <w:rPr>
          <w:szCs w:val="24"/>
        </w:rPr>
        <w:t>О</w:t>
      </w:r>
      <w:r w:rsidRPr="00560A78">
        <w:rPr>
          <w:szCs w:val="24"/>
        </w:rPr>
        <w:t>ткрытие первого в Республике Беларусь горнолыжного спортивно-оздоровительного комплекса «Логойск»</w:t>
      </w:r>
      <w:r>
        <w:rPr>
          <w:szCs w:val="24"/>
        </w:rPr>
        <w:t xml:space="preserve"> состоялось </w:t>
      </w:r>
      <w:r w:rsidRPr="00560A78">
        <w:rPr>
          <w:szCs w:val="24"/>
        </w:rPr>
        <w:t xml:space="preserve">24 января 2004 года. На территории комплекса были пущены в эксплуатацию основной склон с кресельной канатной дорогой и двумя действующими трассами, пункт проката горнолыжного и </w:t>
      </w:r>
      <w:proofErr w:type="spellStart"/>
      <w:r w:rsidRPr="00560A78">
        <w:rPr>
          <w:szCs w:val="24"/>
        </w:rPr>
        <w:t>сноубордического</w:t>
      </w:r>
      <w:proofErr w:type="spellEnd"/>
      <w:r w:rsidRPr="00560A78">
        <w:rPr>
          <w:szCs w:val="24"/>
        </w:rPr>
        <w:t xml:space="preserve"> инвентаря, пункт горячего питания. Для оснащения комплекса системой искусственного </w:t>
      </w:r>
      <w:proofErr w:type="spellStart"/>
      <w:r w:rsidRPr="00560A78">
        <w:rPr>
          <w:szCs w:val="24"/>
        </w:rPr>
        <w:t>оснеживания</w:t>
      </w:r>
      <w:proofErr w:type="spellEnd"/>
      <w:r w:rsidRPr="00560A78">
        <w:rPr>
          <w:szCs w:val="24"/>
        </w:rPr>
        <w:t xml:space="preserve"> были созданы два искусственных водохранилища общей площадью 2.5 </w:t>
      </w:r>
      <w:proofErr w:type="spellStart"/>
      <w:r w:rsidRPr="00560A78">
        <w:rPr>
          <w:szCs w:val="24"/>
        </w:rPr>
        <w:t>тыс.кв.м</w:t>
      </w:r>
      <w:proofErr w:type="spellEnd"/>
      <w:r w:rsidRPr="00560A78">
        <w:rPr>
          <w:szCs w:val="24"/>
        </w:rPr>
        <w:t>. Для парковки транспорта подготовлена охраняемая стоянка на 1000 легковых автомобилей.</w:t>
      </w:r>
    </w:p>
    <w:p w:rsidR="00810E9F" w:rsidRDefault="00810E9F" w:rsidP="00810E9F">
      <w:pPr>
        <w:ind w:firstLine="709"/>
        <w:rPr>
          <w:szCs w:val="24"/>
        </w:rPr>
      </w:pPr>
      <w:r w:rsidRPr="00560A78">
        <w:rPr>
          <w:szCs w:val="24"/>
        </w:rPr>
        <w:t>Каждый зимний сезон проводятся ночные катания, массовые праздники «КАЛЯДЫ», «МАСЛЕНИЦА», соревнования по горным лыжам и сноуборду.</w:t>
      </w:r>
    </w:p>
    <w:p w:rsidR="00810E9F" w:rsidRPr="00560A78" w:rsidRDefault="00810E9F" w:rsidP="00810E9F">
      <w:pPr>
        <w:ind w:firstLine="709"/>
        <w:rPr>
          <w:szCs w:val="24"/>
        </w:rPr>
      </w:pPr>
      <w:r w:rsidRPr="00E068FB">
        <w:rPr>
          <w:szCs w:val="24"/>
        </w:rPr>
        <w:t>На горнолыжном курорте «Логойск» насчитывается пять трасс для спусков на лыжах и сноубордах. Общая протяженность трасс для катания на горнолыжном курорте «Логойск» составляет 3679 метров.</w:t>
      </w:r>
      <w:r>
        <w:rPr>
          <w:szCs w:val="24"/>
        </w:rPr>
        <w:t xml:space="preserve"> </w:t>
      </w:r>
      <w:r w:rsidRPr="00E068FB">
        <w:rPr>
          <w:szCs w:val="24"/>
        </w:rPr>
        <w:t>Отдельный склон высотой 11 метров предназначен для учебного катания. Он расположен в отдалении от других трасс, чтобы обезопасить учащихся. Все спуски проходят под музыкальное сопровождение и освещаются в темное время суток.</w:t>
      </w:r>
    </w:p>
    <w:p w:rsidR="00810E9F" w:rsidRPr="00560A78" w:rsidRDefault="00810E9F" w:rsidP="00810E9F">
      <w:pPr>
        <w:ind w:firstLine="709"/>
        <w:rPr>
          <w:szCs w:val="24"/>
        </w:rPr>
      </w:pPr>
      <w:r w:rsidRPr="00560A78">
        <w:rPr>
          <w:szCs w:val="24"/>
        </w:rPr>
        <w:t xml:space="preserve">Круглый год проводятся корпоративные мероприятия для организаций и компаний. </w:t>
      </w:r>
    </w:p>
    <w:p w:rsidR="00810E9F" w:rsidRPr="00560A78" w:rsidRDefault="00810E9F" w:rsidP="00810E9F">
      <w:pPr>
        <w:ind w:firstLine="709"/>
        <w:rPr>
          <w:szCs w:val="24"/>
        </w:rPr>
      </w:pPr>
      <w:r w:rsidRPr="00560A78">
        <w:rPr>
          <w:szCs w:val="24"/>
        </w:rPr>
        <w:t xml:space="preserve">Проводятся учебно-тренировочные сборы и подготовки команд на базе ГСОК «Логойск». </w:t>
      </w:r>
    </w:p>
    <w:p w:rsidR="00810E9F" w:rsidRDefault="00810E9F" w:rsidP="00810E9F">
      <w:pPr>
        <w:ind w:firstLine="709"/>
        <w:rPr>
          <w:szCs w:val="24"/>
        </w:rPr>
      </w:pPr>
      <w:r w:rsidRPr="00331ABB">
        <w:rPr>
          <w:szCs w:val="24"/>
        </w:rPr>
        <w:t xml:space="preserve">Также из развлечений здесь есть </w:t>
      </w:r>
      <w:proofErr w:type="spellStart"/>
      <w:r w:rsidRPr="00331ABB">
        <w:rPr>
          <w:szCs w:val="24"/>
        </w:rPr>
        <w:t>скалодром</w:t>
      </w:r>
      <w:proofErr w:type="spellEnd"/>
      <w:r w:rsidRPr="00331ABB">
        <w:rPr>
          <w:szCs w:val="24"/>
        </w:rPr>
        <w:t xml:space="preserve">, настольный теннис, </w:t>
      </w:r>
      <w:proofErr w:type="spellStart"/>
      <w:r w:rsidRPr="00331ABB">
        <w:rPr>
          <w:szCs w:val="24"/>
        </w:rPr>
        <w:t>дартс</w:t>
      </w:r>
      <w:proofErr w:type="spellEnd"/>
      <w:r w:rsidRPr="00331ABB">
        <w:rPr>
          <w:szCs w:val="24"/>
        </w:rPr>
        <w:t xml:space="preserve">, бильярд, пляжный волейбол, мини-футбол, веревочный парк, конные прогулки, любительская ловля рыбы. В летний период открывается прокат велосипедов, роликовых коньков, лодок, катамаранов, </w:t>
      </w:r>
      <w:proofErr w:type="spellStart"/>
      <w:r w:rsidRPr="00331ABB">
        <w:rPr>
          <w:szCs w:val="24"/>
        </w:rPr>
        <w:t>квадроциклов</w:t>
      </w:r>
      <w:proofErr w:type="spellEnd"/>
      <w:r w:rsidRPr="00331ABB">
        <w:rPr>
          <w:szCs w:val="24"/>
        </w:rPr>
        <w:t xml:space="preserve">. Со склонов катаются не на лыжах, а на </w:t>
      </w:r>
      <w:proofErr w:type="spellStart"/>
      <w:r w:rsidRPr="00331ABB">
        <w:rPr>
          <w:szCs w:val="24"/>
        </w:rPr>
        <w:t>тюбах</w:t>
      </w:r>
      <w:proofErr w:type="spellEnd"/>
      <w:r w:rsidRPr="00331ABB">
        <w:rPr>
          <w:szCs w:val="24"/>
        </w:rPr>
        <w:t>. На территории арендуют беседки с мангалами для шашлыков и бани с традиционными русскими и финскими парными.</w:t>
      </w:r>
    </w:p>
    <w:p w:rsidR="00810E9F" w:rsidRPr="002F4680" w:rsidRDefault="00810E9F" w:rsidP="00810E9F">
      <w:pPr>
        <w:ind w:firstLine="709"/>
        <w:rPr>
          <w:szCs w:val="24"/>
        </w:rPr>
      </w:pPr>
      <w:r w:rsidRPr="00331ABB">
        <w:rPr>
          <w:szCs w:val="24"/>
        </w:rPr>
        <w:t>Рядом с рестораном белорусской кухни для детей построен городок с горками и качелями. В гостиничном комплексе можно оставить своих детей под присмотром в детской комнате.</w:t>
      </w:r>
    </w:p>
    <w:p w:rsidR="00810E9F" w:rsidRDefault="00810E9F" w:rsidP="00810E9F">
      <w:pPr>
        <w:ind w:firstLine="709"/>
        <w:rPr>
          <w:szCs w:val="24"/>
        </w:rPr>
      </w:pPr>
      <w:r w:rsidRPr="00F74E8B">
        <w:rPr>
          <w:szCs w:val="24"/>
        </w:rPr>
        <w:t>Горнолыжный спортивно-оздоровительный комплекс Логойск находится на расстоянии: г. Логойск - 10км,</w:t>
      </w:r>
      <w:r>
        <w:rPr>
          <w:szCs w:val="24"/>
        </w:rPr>
        <w:t xml:space="preserve"> </w:t>
      </w:r>
      <w:r w:rsidRPr="00F74E8B">
        <w:rPr>
          <w:szCs w:val="24"/>
        </w:rPr>
        <w:t>г. Минск - 38км</w:t>
      </w:r>
      <w:r>
        <w:rPr>
          <w:szCs w:val="24"/>
        </w:rPr>
        <w:t>.</w:t>
      </w:r>
    </w:p>
    <w:p w:rsidR="00810E9F" w:rsidRDefault="00810E9F" w:rsidP="00810E9F">
      <w:pPr>
        <w:jc w:val="center"/>
        <w:rPr>
          <w:szCs w:val="24"/>
        </w:rPr>
      </w:pPr>
      <w:r>
        <w:rPr>
          <w:noProof/>
          <w:snapToGrid/>
        </w:rPr>
        <w:lastRenderedPageBreak/>
        <w:drawing>
          <wp:inline distT="0" distB="0" distL="0" distR="0" wp14:anchorId="10413D57" wp14:editId="31DAF990">
            <wp:extent cx="5013960" cy="3507032"/>
            <wp:effectExtent l="0" t="0" r="0" b="0"/>
            <wp:docPr id="2130743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43413" name=""/>
                    <pic:cNvPicPr/>
                  </pic:nvPicPr>
                  <pic:blipFill rotWithShape="1">
                    <a:blip r:embed="rId4">
                      <a:extLst>
                        <a:ext uri="{BEBA8EAE-BF5A-486C-A8C5-ECC9F3942E4B}">
                          <a14:imgProps xmlns:a14="http://schemas.microsoft.com/office/drawing/2010/main">
                            <a14:imgLayer r:embed="rId5">
                              <a14:imgEffect>
                                <a14:sharpenSoften amount="25000"/>
                              </a14:imgEffect>
                            </a14:imgLayer>
                          </a14:imgProps>
                        </a:ext>
                      </a:extLst>
                    </a:blip>
                    <a:srcRect l="32656" t="20967" r="23080" b="21322"/>
                    <a:stretch/>
                  </pic:blipFill>
                  <pic:spPr bwMode="auto">
                    <a:xfrm>
                      <a:off x="0" y="0"/>
                      <a:ext cx="5019121" cy="3510642"/>
                    </a:xfrm>
                    <a:prstGeom prst="rect">
                      <a:avLst/>
                    </a:prstGeom>
                    <a:ln>
                      <a:noFill/>
                    </a:ln>
                    <a:extLst>
                      <a:ext uri="{53640926-AAD7-44D8-BBD7-CCE9431645EC}">
                        <a14:shadowObscured xmlns:a14="http://schemas.microsoft.com/office/drawing/2010/main"/>
                      </a:ext>
                    </a:extLst>
                  </pic:spPr>
                </pic:pic>
              </a:graphicData>
            </a:graphic>
          </wp:inline>
        </w:drawing>
      </w:r>
    </w:p>
    <w:p w:rsidR="00810E9F" w:rsidRDefault="00810E9F" w:rsidP="00810E9F">
      <w:pPr>
        <w:jc w:val="center"/>
        <w:rPr>
          <w:szCs w:val="24"/>
        </w:rPr>
      </w:pPr>
      <w:r>
        <w:rPr>
          <w:szCs w:val="24"/>
        </w:rPr>
        <w:t xml:space="preserve">Рис.7.1 </w:t>
      </w:r>
      <w:r w:rsidRPr="002F4680">
        <w:rPr>
          <w:szCs w:val="24"/>
        </w:rPr>
        <w:t>Расположение на карте</w:t>
      </w:r>
    </w:p>
    <w:p w:rsidR="00810E9F" w:rsidRDefault="00810E9F" w:rsidP="00810E9F">
      <w:pPr>
        <w:jc w:val="center"/>
        <w:rPr>
          <w:szCs w:val="24"/>
        </w:rPr>
      </w:pPr>
    </w:p>
    <w:p w:rsidR="00810E9F" w:rsidRDefault="00810E9F" w:rsidP="00810E9F">
      <w:pPr>
        <w:jc w:val="center"/>
        <w:rPr>
          <w:szCs w:val="24"/>
        </w:rPr>
      </w:pPr>
      <w:r>
        <w:rPr>
          <w:noProof/>
        </w:rPr>
        <w:drawing>
          <wp:inline distT="0" distB="0" distL="0" distR="0" wp14:anchorId="38A4E3AD" wp14:editId="28BF3FF0">
            <wp:extent cx="5067300" cy="4255484"/>
            <wp:effectExtent l="0" t="0" r="0" b="0"/>
            <wp:docPr id="1469703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03809" name=""/>
                    <pic:cNvPicPr/>
                  </pic:nvPicPr>
                  <pic:blipFill rotWithShape="1">
                    <a:blip r:embed="rId6">
                      <a:extLst>
                        <a:ext uri="{BEBA8EAE-BF5A-486C-A8C5-ECC9F3942E4B}">
                          <a14:imgProps xmlns:a14="http://schemas.microsoft.com/office/drawing/2010/main">
                            <a14:imgLayer r:embed="rId7">
                              <a14:imgEffect>
                                <a14:sharpenSoften amount="25000"/>
                              </a14:imgEffect>
                            </a14:imgLayer>
                          </a14:imgProps>
                        </a:ext>
                      </a:extLst>
                    </a:blip>
                    <a:srcRect l="43614" t="18410" r="6745" b="3885"/>
                    <a:stretch/>
                  </pic:blipFill>
                  <pic:spPr bwMode="auto">
                    <a:xfrm>
                      <a:off x="0" y="0"/>
                      <a:ext cx="5076617" cy="4263309"/>
                    </a:xfrm>
                    <a:prstGeom prst="rect">
                      <a:avLst/>
                    </a:prstGeom>
                    <a:ln>
                      <a:noFill/>
                    </a:ln>
                    <a:extLst>
                      <a:ext uri="{53640926-AAD7-44D8-BBD7-CCE9431645EC}">
                        <a14:shadowObscured xmlns:a14="http://schemas.microsoft.com/office/drawing/2010/main"/>
                      </a:ext>
                    </a:extLst>
                  </pic:spPr>
                </pic:pic>
              </a:graphicData>
            </a:graphic>
          </wp:inline>
        </w:drawing>
      </w:r>
    </w:p>
    <w:p w:rsidR="00810E9F" w:rsidRDefault="00810E9F" w:rsidP="00810E9F">
      <w:pPr>
        <w:jc w:val="center"/>
        <w:rPr>
          <w:szCs w:val="24"/>
        </w:rPr>
      </w:pPr>
      <w:r>
        <w:rPr>
          <w:szCs w:val="24"/>
        </w:rPr>
        <w:t xml:space="preserve">Рис.7.2. Расположение и форма земельного участка с </w:t>
      </w:r>
      <w:proofErr w:type="spellStart"/>
      <w:r>
        <w:rPr>
          <w:szCs w:val="24"/>
        </w:rPr>
        <w:t>кад</w:t>
      </w:r>
      <w:proofErr w:type="spellEnd"/>
      <w:r>
        <w:rPr>
          <w:szCs w:val="24"/>
        </w:rPr>
        <w:t>. №</w:t>
      </w:r>
      <w:r w:rsidRPr="00A3484C">
        <w:rPr>
          <w:szCs w:val="24"/>
        </w:rPr>
        <w:t>623286300017000001</w:t>
      </w:r>
      <w:r>
        <w:rPr>
          <w:szCs w:val="24"/>
        </w:rPr>
        <w:t>, на котором расположены объекты недвижимости, входящие в оцениваемый ПИК</w:t>
      </w:r>
    </w:p>
    <w:p w:rsidR="00810E9F" w:rsidRDefault="00810E9F" w:rsidP="00810E9F">
      <w:pPr>
        <w:jc w:val="center"/>
        <w:rPr>
          <w:szCs w:val="24"/>
        </w:rPr>
      </w:pPr>
      <w:r>
        <w:rPr>
          <w:noProof/>
        </w:rPr>
        <w:lastRenderedPageBreak/>
        <w:drawing>
          <wp:inline distT="0" distB="0" distL="0" distR="0" wp14:anchorId="4C0496BB" wp14:editId="671754C7">
            <wp:extent cx="6300470" cy="3937635"/>
            <wp:effectExtent l="0" t="0" r="5080" b="5715"/>
            <wp:docPr id="1001927108" name="Рисунок 28" descr="Горнолыжный спортивно-оздоровительный комплекс «Логойск», Белар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орнолыжный спортивно-оздоровительный комплекс «Логойск», Беларус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3937635"/>
                    </a:xfrm>
                    <a:prstGeom prst="rect">
                      <a:avLst/>
                    </a:prstGeom>
                    <a:noFill/>
                    <a:ln>
                      <a:noFill/>
                    </a:ln>
                  </pic:spPr>
                </pic:pic>
              </a:graphicData>
            </a:graphic>
          </wp:inline>
        </w:drawing>
      </w:r>
    </w:p>
    <w:p w:rsidR="00810E9F" w:rsidRPr="002F4680" w:rsidRDefault="00810E9F" w:rsidP="00810E9F">
      <w:pPr>
        <w:jc w:val="center"/>
        <w:rPr>
          <w:szCs w:val="24"/>
        </w:rPr>
      </w:pPr>
      <w:r>
        <w:rPr>
          <w:szCs w:val="24"/>
        </w:rPr>
        <w:t>Рис. 7.3. Общий вид</w:t>
      </w:r>
    </w:p>
    <w:p w:rsidR="00810E9F" w:rsidRDefault="00810E9F" w:rsidP="00810E9F">
      <w:pPr>
        <w:ind w:firstLine="709"/>
        <w:rPr>
          <w:szCs w:val="24"/>
        </w:rPr>
      </w:pPr>
      <w:r w:rsidRPr="00331ABB">
        <w:rPr>
          <w:szCs w:val="24"/>
        </w:rPr>
        <w:t xml:space="preserve">Добраться до </w:t>
      </w:r>
      <w:r w:rsidRPr="00560A78">
        <w:rPr>
          <w:szCs w:val="24"/>
        </w:rPr>
        <w:t>ГСОК «Логойск»</w:t>
      </w:r>
      <w:r>
        <w:rPr>
          <w:szCs w:val="24"/>
        </w:rPr>
        <w:t xml:space="preserve"> можно </w:t>
      </w:r>
      <w:r w:rsidRPr="00331ABB">
        <w:rPr>
          <w:szCs w:val="24"/>
        </w:rPr>
        <w:t>на рейсовых автобусах, маршрутных такси или заказном трансфере.</w:t>
      </w:r>
      <w:r>
        <w:rPr>
          <w:szCs w:val="24"/>
        </w:rPr>
        <w:t xml:space="preserve"> </w:t>
      </w:r>
      <w:r w:rsidRPr="00331ABB">
        <w:rPr>
          <w:szCs w:val="24"/>
        </w:rPr>
        <w:t>Автобусы из Минска до Логойска ежедневно отправляются с пяти утра до восьми вечера от диспетчерских станций «Славинского» или «</w:t>
      </w:r>
      <w:proofErr w:type="spellStart"/>
      <w:r w:rsidRPr="00331ABB">
        <w:rPr>
          <w:szCs w:val="24"/>
        </w:rPr>
        <w:t>Карбышева</w:t>
      </w:r>
      <w:proofErr w:type="spellEnd"/>
      <w:r w:rsidRPr="00331ABB">
        <w:rPr>
          <w:szCs w:val="24"/>
        </w:rPr>
        <w:t>». В среднем дорога занимает чуть более одного часа.</w:t>
      </w:r>
      <w:r>
        <w:rPr>
          <w:szCs w:val="24"/>
        </w:rPr>
        <w:t xml:space="preserve"> </w:t>
      </w:r>
      <w:r w:rsidRPr="00331ABB">
        <w:rPr>
          <w:szCs w:val="24"/>
        </w:rPr>
        <w:t>Маршрутные такси из Минска в Логойск отправляются по субботам и воскресеньям каждые 15–20 минут с парковки возле Национальной библиотеки.</w:t>
      </w:r>
    </w:p>
    <w:p w:rsidR="00810E9F" w:rsidRDefault="00810E9F" w:rsidP="00810E9F">
      <w:pPr>
        <w:ind w:firstLine="709"/>
      </w:pPr>
      <w:r w:rsidRPr="00324CFA">
        <w:t xml:space="preserve">В состав </w:t>
      </w:r>
      <w:r>
        <w:t xml:space="preserve">оцениваемого </w:t>
      </w:r>
      <w:r w:rsidRPr="00324CFA">
        <w:t xml:space="preserve">имущественного комплекса </w:t>
      </w:r>
      <w:r w:rsidRPr="005C7020">
        <w:t xml:space="preserve">включены </w:t>
      </w:r>
      <w:r>
        <w:t xml:space="preserve">нижеперечисленные </w:t>
      </w:r>
      <w:r w:rsidRPr="005C7020">
        <w:t>активы</w:t>
      </w:r>
      <w:r>
        <w:t xml:space="preserve">, с учетом имущественных прав на них по состоянию на 01.04.2023 </w:t>
      </w:r>
      <w:r w:rsidRPr="00286D99">
        <w:rPr>
          <w:b/>
          <w:i/>
        </w:rPr>
        <w:t xml:space="preserve">(см. Приложение </w:t>
      </w:r>
      <w:r>
        <w:rPr>
          <w:b/>
          <w:i/>
        </w:rPr>
        <w:t>3</w:t>
      </w:r>
      <w:r w:rsidRPr="00286D99">
        <w:rPr>
          <w:b/>
          <w:i/>
        </w:rPr>
        <w:t>).</w:t>
      </w:r>
    </w:p>
    <w:p w:rsidR="00810E9F" w:rsidRDefault="00810E9F" w:rsidP="00810E9F">
      <w:pPr>
        <w:pStyle w:val="a3"/>
        <w:ind w:left="1287"/>
        <w:jc w:val="right"/>
      </w:pPr>
      <w:r w:rsidRPr="001A5FC2">
        <w:t xml:space="preserve">Таблица </w:t>
      </w:r>
      <w:r>
        <w:t>7</w:t>
      </w:r>
      <w:r w:rsidRPr="001A5FC2">
        <w:t>.1</w:t>
      </w:r>
    </w:p>
    <w:p w:rsidR="00810E9F" w:rsidRPr="00286D99" w:rsidRDefault="00810E9F" w:rsidP="00810E9F">
      <w:pPr>
        <w:pStyle w:val="a3"/>
        <w:ind w:left="1287" w:hanging="1287"/>
        <w:jc w:val="center"/>
        <w:rPr>
          <w:b/>
        </w:rPr>
      </w:pPr>
      <w:r w:rsidRPr="00286D99">
        <w:rPr>
          <w:b/>
        </w:rPr>
        <w:t>ПЕРЕЧЕНЬ</w:t>
      </w:r>
    </w:p>
    <w:p w:rsidR="00810E9F" w:rsidRPr="00286D99" w:rsidRDefault="00810E9F" w:rsidP="00810E9F">
      <w:pPr>
        <w:pStyle w:val="a3"/>
        <w:ind w:left="1287" w:hanging="1287"/>
        <w:jc w:val="center"/>
        <w:rPr>
          <w:b/>
        </w:rPr>
      </w:pPr>
      <w:r w:rsidRPr="00286D99">
        <w:rPr>
          <w:b/>
        </w:rPr>
        <w:t>имущества и имущественных прав, входящих</w:t>
      </w:r>
    </w:p>
    <w:p w:rsidR="00810E9F" w:rsidRDefault="00810E9F" w:rsidP="00810E9F">
      <w:pPr>
        <w:pStyle w:val="a3"/>
        <w:ind w:left="1287" w:hanging="1287"/>
        <w:jc w:val="center"/>
        <w:rPr>
          <w:b/>
        </w:rPr>
      </w:pPr>
      <w:r w:rsidRPr="00286D99">
        <w:rPr>
          <w:b/>
        </w:rPr>
        <w:t>в состав предприятия как имущественного комплекса</w:t>
      </w:r>
      <w:r>
        <w:rPr>
          <w:b/>
        </w:rPr>
        <w:t xml:space="preserve"> </w:t>
      </w:r>
      <w:r w:rsidRPr="00F47714">
        <w:rPr>
          <w:b/>
        </w:rPr>
        <w:t>– регистрационный номер №</w:t>
      </w:r>
      <w:r>
        <w:rPr>
          <w:b/>
        </w:rPr>
        <w:t xml:space="preserve">0000381 </w:t>
      </w:r>
      <w:r w:rsidRPr="00286D99">
        <w:rPr>
          <w:b/>
        </w:rPr>
        <w:t xml:space="preserve">по состоянию на </w:t>
      </w:r>
      <w:r>
        <w:rPr>
          <w:b/>
        </w:rPr>
        <w:t>01.04.2023</w:t>
      </w:r>
    </w:p>
    <w:tbl>
      <w:tblPr>
        <w:tblW w:w="9918" w:type="dxa"/>
        <w:tblLook w:val="04A0" w:firstRow="1" w:lastRow="0" w:firstColumn="1" w:lastColumn="0" w:noHBand="0" w:noVBand="1"/>
      </w:tblPr>
      <w:tblGrid>
        <w:gridCol w:w="7508"/>
        <w:gridCol w:w="2410"/>
      </w:tblGrid>
      <w:tr w:rsidR="00810E9F" w:rsidRPr="00ED73C6" w:rsidTr="002C3EA2">
        <w:trPr>
          <w:trHeight w:val="256"/>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center"/>
              <w:rPr>
                <w:b/>
                <w:bCs/>
                <w:snapToGrid/>
                <w:color w:val="000000"/>
                <w:szCs w:val="24"/>
              </w:rPr>
            </w:pPr>
            <w:r w:rsidRPr="00ED73C6">
              <w:rPr>
                <w:b/>
                <w:bCs/>
                <w:snapToGrid/>
                <w:color w:val="000000"/>
                <w:szCs w:val="24"/>
              </w:rPr>
              <w:t>Наименования статей перечня оцениваемого имущественного комплекса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b/>
                <w:bCs/>
                <w:snapToGrid/>
                <w:color w:val="000000"/>
                <w:szCs w:val="24"/>
              </w:rPr>
            </w:pPr>
            <w:r w:rsidRPr="00ED73C6">
              <w:rPr>
                <w:b/>
                <w:bCs/>
                <w:snapToGrid/>
                <w:color w:val="000000"/>
                <w:szCs w:val="24"/>
              </w:rPr>
              <w:t>Балансовая стоимость, бел. руб.</w:t>
            </w:r>
          </w:p>
        </w:tc>
      </w:tr>
      <w:tr w:rsidR="00810E9F" w:rsidRPr="00ED73C6" w:rsidTr="002C3EA2">
        <w:trPr>
          <w:trHeight w:val="312"/>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szCs w:val="24"/>
              </w:rPr>
            </w:pPr>
            <w:r w:rsidRPr="00ED73C6">
              <w:rPr>
                <w:snapToGrid/>
                <w:szCs w:val="24"/>
              </w:rPr>
              <w:t>Основные средства</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szCs w:val="24"/>
              </w:rPr>
            </w:pPr>
            <w:r w:rsidRPr="00ED73C6">
              <w:rPr>
                <w:snapToGrid/>
                <w:szCs w:val="24"/>
              </w:rPr>
              <w:t>25 058 848,41</w:t>
            </w:r>
          </w:p>
        </w:tc>
      </w:tr>
      <w:tr w:rsidR="00810E9F" w:rsidRPr="00ED73C6" w:rsidTr="002C3EA2">
        <w:trPr>
          <w:trHeight w:val="58"/>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szCs w:val="24"/>
              </w:rPr>
            </w:pPr>
            <w:r w:rsidRPr="00ED73C6">
              <w:rPr>
                <w:snapToGrid/>
                <w:szCs w:val="24"/>
              </w:rPr>
              <w:t>Вложения в долгосрочные активы</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szCs w:val="24"/>
              </w:rPr>
            </w:pPr>
            <w:r w:rsidRPr="00ED73C6">
              <w:rPr>
                <w:snapToGrid/>
                <w:szCs w:val="24"/>
              </w:rPr>
              <w:t>73 207,38</w:t>
            </w:r>
          </w:p>
        </w:tc>
      </w:tr>
      <w:tr w:rsidR="00810E9F" w:rsidRPr="00ED73C6" w:rsidTr="002C3EA2">
        <w:trPr>
          <w:trHeight w:val="312"/>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szCs w:val="24"/>
              </w:rPr>
            </w:pPr>
            <w:r w:rsidRPr="00ED73C6">
              <w:rPr>
                <w:snapToGrid/>
                <w:szCs w:val="24"/>
              </w:rPr>
              <w:t>Денежные средства</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szCs w:val="24"/>
              </w:rPr>
            </w:pPr>
            <w:r w:rsidRPr="00ED73C6">
              <w:rPr>
                <w:snapToGrid/>
                <w:szCs w:val="24"/>
              </w:rPr>
              <w:t xml:space="preserve">нет </w:t>
            </w:r>
          </w:p>
        </w:tc>
      </w:tr>
      <w:tr w:rsidR="00810E9F" w:rsidRPr="00ED73C6" w:rsidTr="002C3EA2">
        <w:trPr>
          <w:trHeight w:val="312"/>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szCs w:val="24"/>
              </w:rPr>
            </w:pPr>
            <w:r w:rsidRPr="00ED73C6">
              <w:rPr>
                <w:snapToGrid/>
                <w:szCs w:val="24"/>
              </w:rPr>
              <w:t>Долги, обязательства</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szCs w:val="24"/>
              </w:rPr>
            </w:pPr>
            <w:r w:rsidRPr="00ED73C6">
              <w:rPr>
                <w:snapToGrid/>
                <w:szCs w:val="24"/>
              </w:rPr>
              <w:t xml:space="preserve">нет </w:t>
            </w:r>
          </w:p>
        </w:tc>
      </w:tr>
      <w:tr w:rsidR="00810E9F" w:rsidRPr="00ED73C6" w:rsidTr="002C3EA2">
        <w:trPr>
          <w:trHeight w:val="312"/>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szCs w:val="24"/>
              </w:rPr>
            </w:pPr>
            <w:r w:rsidRPr="00ED73C6">
              <w:rPr>
                <w:snapToGrid/>
                <w:szCs w:val="24"/>
              </w:rPr>
              <w:t>Права требования</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szCs w:val="24"/>
              </w:rPr>
            </w:pPr>
            <w:r w:rsidRPr="00ED73C6">
              <w:rPr>
                <w:snapToGrid/>
                <w:szCs w:val="24"/>
              </w:rPr>
              <w:t xml:space="preserve">нет </w:t>
            </w:r>
          </w:p>
        </w:tc>
      </w:tr>
      <w:tr w:rsidR="00810E9F" w:rsidRPr="00ED73C6" w:rsidTr="002C3EA2">
        <w:trPr>
          <w:trHeight w:val="58"/>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szCs w:val="24"/>
              </w:rPr>
            </w:pPr>
            <w:r w:rsidRPr="00ED73C6">
              <w:rPr>
                <w:snapToGrid/>
                <w:szCs w:val="24"/>
              </w:rPr>
              <w:t>Запасы</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szCs w:val="24"/>
              </w:rPr>
            </w:pPr>
            <w:r w:rsidRPr="00ED73C6">
              <w:rPr>
                <w:snapToGrid/>
                <w:szCs w:val="24"/>
              </w:rPr>
              <w:t>888 260,48</w:t>
            </w:r>
          </w:p>
        </w:tc>
      </w:tr>
      <w:tr w:rsidR="00810E9F" w:rsidRPr="00ED73C6" w:rsidTr="002C3EA2">
        <w:trPr>
          <w:trHeight w:val="58"/>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szCs w:val="24"/>
              </w:rPr>
            </w:pPr>
            <w:r w:rsidRPr="00ED73C6">
              <w:rPr>
                <w:snapToGrid/>
                <w:szCs w:val="24"/>
              </w:rPr>
              <w:t>Исключительные права на объекты интеллектуальной собственности. Иные имущественные права</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szCs w:val="24"/>
              </w:rPr>
            </w:pPr>
            <w:r w:rsidRPr="00ED73C6">
              <w:rPr>
                <w:snapToGrid/>
                <w:szCs w:val="24"/>
              </w:rPr>
              <w:t>0,00</w:t>
            </w:r>
          </w:p>
        </w:tc>
      </w:tr>
      <w:tr w:rsidR="00810E9F" w:rsidRPr="00ED73C6" w:rsidTr="002C3EA2">
        <w:trPr>
          <w:trHeight w:val="58"/>
        </w:trPr>
        <w:tc>
          <w:tcPr>
            <w:tcW w:w="7508" w:type="dxa"/>
            <w:tcBorders>
              <w:top w:val="nil"/>
              <w:left w:val="single" w:sz="4" w:space="0" w:color="auto"/>
              <w:bottom w:val="single" w:sz="4" w:space="0" w:color="auto"/>
              <w:right w:val="single" w:sz="4" w:space="0" w:color="auto"/>
            </w:tcBorders>
            <w:shd w:val="clear" w:color="auto" w:fill="auto"/>
            <w:vAlign w:val="center"/>
            <w:hideMark/>
          </w:tcPr>
          <w:p w:rsidR="00810E9F" w:rsidRPr="00ED73C6" w:rsidRDefault="00810E9F" w:rsidP="002C3EA2">
            <w:pPr>
              <w:jc w:val="left"/>
              <w:rPr>
                <w:snapToGrid/>
                <w:color w:val="000000"/>
                <w:szCs w:val="24"/>
              </w:rPr>
            </w:pPr>
            <w:r w:rsidRPr="00ED73C6">
              <w:rPr>
                <w:snapToGrid/>
                <w:color w:val="000000"/>
                <w:szCs w:val="24"/>
              </w:rPr>
              <w:t>Иное имущество (доходные вложения в материальные активы (инвестиционная недвижимость и прочие доходные вложения в материальные активы))</w:t>
            </w:r>
          </w:p>
        </w:tc>
        <w:tc>
          <w:tcPr>
            <w:tcW w:w="2410" w:type="dxa"/>
            <w:tcBorders>
              <w:top w:val="nil"/>
              <w:left w:val="nil"/>
              <w:bottom w:val="single" w:sz="4" w:space="0" w:color="auto"/>
              <w:right w:val="single" w:sz="4" w:space="0" w:color="auto"/>
            </w:tcBorders>
            <w:shd w:val="clear" w:color="auto" w:fill="auto"/>
            <w:vAlign w:val="center"/>
            <w:hideMark/>
          </w:tcPr>
          <w:p w:rsidR="00810E9F" w:rsidRPr="00ED73C6" w:rsidRDefault="00810E9F" w:rsidP="002C3EA2">
            <w:pPr>
              <w:jc w:val="center"/>
              <w:rPr>
                <w:snapToGrid/>
                <w:color w:val="000000"/>
                <w:szCs w:val="24"/>
              </w:rPr>
            </w:pPr>
            <w:r w:rsidRPr="00ED73C6">
              <w:rPr>
                <w:snapToGrid/>
                <w:color w:val="000000"/>
                <w:szCs w:val="24"/>
              </w:rPr>
              <w:t>1 226 625,61</w:t>
            </w:r>
          </w:p>
        </w:tc>
      </w:tr>
    </w:tbl>
    <w:p w:rsidR="00810E9F" w:rsidRDefault="00810E9F" w:rsidP="00810E9F">
      <w:pPr>
        <w:tabs>
          <w:tab w:val="left" w:pos="851"/>
        </w:tabs>
        <w:ind w:firstLine="567"/>
        <w:rPr>
          <w:color w:val="000000"/>
          <w:lang w:bidi="ru-RU"/>
        </w:rPr>
      </w:pPr>
      <w:r>
        <w:rPr>
          <w:color w:val="000000"/>
          <w:lang w:bidi="ru-RU"/>
        </w:rPr>
        <w:t xml:space="preserve"> </w:t>
      </w:r>
    </w:p>
    <w:p w:rsidR="00810E9F" w:rsidRDefault="00810E9F" w:rsidP="00810E9F">
      <w:pPr>
        <w:tabs>
          <w:tab w:val="left" w:pos="851"/>
        </w:tabs>
        <w:ind w:firstLine="567"/>
        <w:rPr>
          <w:color w:val="000000"/>
          <w:lang w:bidi="ru-RU"/>
        </w:rPr>
      </w:pPr>
      <w:r>
        <w:rPr>
          <w:color w:val="000000"/>
          <w:lang w:bidi="ru-RU"/>
        </w:rPr>
        <w:lastRenderedPageBreak/>
        <w:t>Структура основных средств представлена на рис. 7.4.</w:t>
      </w:r>
    </w:p>
    <w:p w:rsidR="00810E9F" w:rsidRDefault="00810E9F" w:rsidP="00810E9F">
      <w:pPr>
        <w:tabs>
          <w:tab w:val="left" w:pos="851"/>
        </w:tabs>
        <w:ind w:firstLine="567"/>
        <w:rPr>
          <w:color w:val="000000"/>
          <w:lang w:bidi="ru-RU"/>
        </w:rPr>
      </w:pPr>
    </w:p>
    <w:p w:rsidR="00810E9F" w:rsidRDefault="00810E9F" w:rsidP="00810E9F">
      <w:pPr>
        <w:tabs>
          <w:tab w:val="left" w:pos="851"/>
        </w:tabs>
        <w:ind w:firstLine="567"/>
        <w:rPr>
          <w:color w:val="000000"/>
          <w:lang w:bidi="ru-RU"/>
        </w:rPr>
      </w:pPr>
      <w:r>
        <w:rPr>
          <w:noProof/>
          <w:snapToGrid/>
        </w:rPr>
        <w:drawing>
          <wp:inline distT="0" distB="0" distL="0" distR="0" wp14:anchorId="051C5620" wp14:editId="2B20B875">
            <wp:extent cx="5770390" cy="4426964"/>
            <wp:effectExtent l="0" t="0" r="1905" b="0"/>
            <wp:docPr id="1104042632"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4F82E6C-28E3-4B9F-97A7-5D8D67BD5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0E9F" w:rsidRDefault="00810E9F" w:rsidP="00810E9F">
      <w:pPr>
        <w:tabs>
          <w:tab w:val="left" w:pos="851"/>
        </w:tabs>
        <w:jc w:val="center"/>
        <w:rPr>
          <w:color w:val="000000"/>
          <w:lang w:bidi="ru-RU"/>
        </w:rPr>
      </w:pPr>
      <w:r>
        <w:rPr>
          <w:color w:val="000000"/>
          <w:lang w:bidi="ru-RU"/>
        </w:rPr>
        <w:t>Рис.7.4 Структура основных средств</w:t>
      </w:r>
    </w:p>
    <w:p w:rsidR="00810E9F" w:rsidRDefault="00810E9F" w:rsidP="00810E9F">
      <w:pPr>
        <w:tabs>
          <w:tab w:val="left" w:pos="851"/>
        </w:tabs>
        <w:ind w:firstLine="567"/>
        <w:rPr>
          <w:color w:val="000000"/>
          <w:lang w:bidi="ru-RU"/>
        </w:rPr>
      </w:pPr>
    </w:p>
    <w:p w:rsidR="00810E9F" w:rsidRDefault="00810E9F" w:rsidP="00810E9F">
      <w:pPr>
        <w:tabs>
          <w:tab w:val="left" w:pos="851"/>
        </w:tabs>
        <w:ind w:firstLine="567"/>
        <w:rPr>
          <w:color w:val="000000"/>
          <w:lang w:bidi="ru-RU"/>
        </w:rPr>
      </w:pPr>
    </w:p>
    <w:p w:rsidR="00810E9F" w:rsidRPr="005E48BC" w:rsidRDefault="00810E9F" w:rsidP="00810E9F">
      <w:pPr>
        <w:pStyle w:val="a3"/>
        <w:tabs>
          <w:tab w:val="left" w:pos="993"/>
        </w:tabs>
        <w:ind w:left="0" w:firstLine="709"/>
        <w:rPr>
          <w:i/>
          <w:szCs w:val="24"/>
        </w:rPr>
      </w:pPr>
      <w:r w:rsidRPr="005E48BC">
        <w:rPr>
          <w:i/>
          <w:szCs w:val="24"/>
        </w:rPr>
        <w:t>Источник</w:t>
      </w:r>
      <w:r>
        <w:rPr>
          <w:i/>
          <w:szCs w:val="24"/>
        </w:rPr>
        <w:t>и</w:t>
      </w:r>
      <w:r w:rsidRPr="005E48BC">
        <w:rPr>
          <w:i/>
          <w:szCs w:val="24"/>
        </w:rPr>
        <w:t>:</w:t>
      </w:r>
      <w:r>
        <w:rPr>
          <w:i/>
          <w:szCs w:val="24"/>
        </w:rPr>
        <w:t xml:space="preserve"> интернет-сайты </w:t>
      </w:r>
      <w:hyperlink r:id="rId10" w:history="1">
        <w:r w:rsidRPr="00CD5790">
          <w:rPr>
            <w:rStyle w:val="a7"/>
            <w:i/>
            <w:szCs w:val="24"/>
          </w:rPr>
          <w:t>https://logoisk.by</w:t>
        </w:r>
      </w:hyperlink>
      <w:r>
        <w:rPr>
          <w:i/>
          <w:szCs w:val="24"/>
        </w:rPr>
        <w:t xml:space="preserve">, </w:t>
      </w:r>
      <w:hyperlink r:id="rId11" w:history="1">
        <w:r w:rsidRPr="00CD5790">
          <w:rPr>
            <w:rStyle w:val="a7"/>
            <w:i/>
            <w:szCs w:val="24"/>
          </w:rPr>
          <w:t>https://beltur.by</w:t>
        </w:r>
      </w:hyperlink>
      <w:r>
        <w:rPr>
          <w:i/>
          <w:szCs w:val="24"/>
        </w:rPr>
        <w:t xml:space="preserve">, </w:t>
      </w:r>
      <w:hyperlink r:id="rId12" w:history="1">
        <w:r w:rsidRPr="00CD5790">
          <w:rPr>
            <w:rStyle w:val="a7"/>
            <w:i/>
            <w:szCs w:val="24"/>
          </w:rPr>
          <w:t>https://www.tourister.ru/world/europe/belarus/city/logoisk/snow/20969</w:t>
        </w:r>
      </w:hyperlink>
      <w:proofErr w:type="gramStart"/>
      <w:r>
        <w:rPr>
          <w:i/>
          <w:szCs w:val="24"/>
        </w:rPr>
        <w:t>, .</w:t>
      </w:r>
      <w:proofErr w:type="gramEnd"/>
    </w:p>
    <w:p w:rsidR="00810E9F" w:rsidRDefault="00810E9F" w:rsidP="00810E9F">
      <w:pPr>
        <w:ind w:firstLine="851"/>
        <w:rPr>
          <w:b/>
          <w:i/>
          <w:szCs w:val="24"/>
        </w:rPr>
      </w:pPr>
    </w:p>
    <w:p w:rsidR="00810E9F" w:rsidRDefault="00810E9F" w:rsidP="00810E9F">
      <w:pPr>
        <w:ind w:firstLine="851"/>
        <w:rPr>
          <w:b/>
          <w:i/>
          <w:szCs w:val="24"/>
        </w:rPr>
      </w:pPr>
      <w:r w:rsidRPr="00EB4A71">
        <w:rPr>
          <w:b/>
          <w:i/>
          <w:szCs w:val="24"/>
        </w:rPr>
        <w:t>Выводы:</w:t>
      </w:r>
    </w:p>
    <w:p w:rsidR="00810E9F" w:rsidRPr="005301D2" w:rsidRDefault="00810E9F" w:rsidP="00810E9F">
      <w:pPr>
        <w:ind w:firstLine="851"/>
        <w:rPr>
          <w:b/>
          <w:bCs/>
          <w:i/>
          <w:iCs/>
        </w:rPr>
      </w:pPr>
      <w:r w:rsidRPr="00D2700B">
        <w:rPr>
          <w:b/>
          <w:bCs/>
          <w:i/>
          <w:iCs/>
        </w:rPr>
        <w:t xml:space="preserve">Объектом оценки является предприятие как имущественный комплекс, сформированный из перечня имущества и имущественных прав, входящих в состав </w:t>
      </w:r>
      <w:r>
        <w:rPr>
          <w:b/>
          <w:bCs/>
          <w:i/>
          <w:iCs/>
        </w:rPr>
        <w:t xml:space="preserve">                   </w:t>
      </w:r>
      <w:r w:rsidRPr="00D2700B">
        <w:rPr>
          <w:b/>
          <w:bCs/>
          <w:i/>
          <w:iCs/>
        </w:rPr>
        <w:t>ООО «</w:t>
      </w:r>
      <w:proofErr w:type="spellStart"/>
      <w:r w:rsidRPr="00D2700B">
        <w:rPr>
          <w:b/>
          <w:bCs/>
          <w:i/>
          <w:iCs/>
        </w:rPr>
        <w:t>Трайпл</w:t>
      </w:r>
      <w:proofErr w:type="spellEnd"/>
      <w:r w:rsidRPr="00D2700B">
        <w:rPr>
          <w:b/>
          <w:bCs/>
          <w:i/>
          <w:iCs/>
        </w:rPr>
        <w:t>» Горнолыжный спортивно-оздоровительный комплекс «Логойск»</w:t>
      </w:r>
      <w:r w:rsidRPr="005301D2">
        <w:rPr>
          <w:b/>
          <w:bCs/>
          <w:i/>
          <w:iCs/>
        </w:rPr>
        <w:t>.</w:t>
      </w:r>
      <w:r>
        <w:rPr>
          <w:b/>
          <w:bCs/>
          <w:i/>
          <w:iCs/>
        </w:rPr>
        <w:t xml:space="preserve"> Основной удельный вес приходится на основные средства, 90% из которых занимают здания, сооружения и передаточные устройства.</w:t>
      </w:r>
    </w:p>
    <w:p w:rsidR="00D96925" w:rsidRDefault="00D96925">
      <w:bookmarkStart w:id="3" w:name="_GoBack"/>
      <w:bookmarkEnd w:id="3"/>
    </w:p>
    <w:sectPr w:rsidR="00D969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E9F"/>
    <w:rsid w:val="001D1331"/>
    <w:rsid w:val="00810E9F"/>
    <w:rsid w:val="00B200C0"/>
    <w:rsid w:val="00D96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7D708F-A607-4D6E-AA11-7A6A75789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E9F"/>
    <w:pPr>
      <w:spacing w:after="0" w:line="240" w:lineRule="auto"/>
      <w:jc w:val="both"/>
    </w:pPr>
    <w:rPr>
      <w:rFonts w:ascii="Times New Roman" w:eastAsia="Times New Roman" w:hAnsi="Times New Roman" w:cs="Times New Roman"/>
      <w:snapToGrid w:val="0"/>
      <w:sz w:val="24"/>
      <w:szCs w:val="20"/>
      <w:lang w:eastAsia="ru-RU"/>
    </w:rPr>
  </w:style>
  <w:style w:type="paragraph" w:styleId="1">
    <w:name w:val="heading 1"/>
    <w:aliases w:val="Заголовок 1 Знак1 Знак,Заголовок 1 Знак Знак Знак,Заголовок 1 Знак Знак Знак Знак,Заголовок 1 Знак1,глава"/>
    <w:basedOn w:val="a"/>
    <w:next w:val="a"/>
    <w:link w:val="10"/>
    <w:autoRedefine/>
    <w:uiPriority w:val="9"/>
    <w:qFormat/>
    <w:rsid w:val="00810E9F"/>
    <w:pPr>
      <w:keepNext/>
      <w:pageBreakBefore/>
      <w:jc w:val="center"/>
      <w:textAlignment w:val="baseline"/>
      <w:outlineLvl w:val="0"/>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 Знак,Заголовок 1 Знак Знак Знак Знак1,Заголовок 1 Знак Знак Знак Знак Знак,Заголовок 1 Знак1 Знак1,глава Знак"/>
    <w:basedOn w:val="a0"/>
    <w:link w:val="1"/>
    <w:uiPriority w:val="9"/>
    <w:rsid w:val="00810E9F"/>
    <w:rPr>
      <w:rFonts w:ascii="Times New Roman" w:eastAsia="Times New Roman" w:hAnsi="Times New Roman" w:cs="Times New Roman"/>
      <w:b/>
      <w:bCs/>
      <w:snapToGrid w:val="0"/>
      <w:sz w:val="24"/>
      <w:szCs w:val="24"/>
      <w:lang w:eastAsia="ru-RU"/>
    </w:rPr>
  </w:style>
  <w:style w:type="paragraph" w:styleId="a3">
    <w:name w:val="List Paragraph"/>
    <w:basedOn w:val="a"/>
    <w:link w:val="a4"/>
    <w:uiPriority w:val="34"/>
    <w:qFormat/>
    <w:rsid w:val="00810E9F"/>
    <w:pPr>
      <w:ind w:left="720"/>
      <w:contextualSpacing/>
    </w:pPr>
  </w:style>
  <w:style w:type="paragraph" w:styleId="a5">
    <w:name w:val="Normal (Web)"/>
    <w:aliases w:val="Обычный (Web),Обычный (Web)1,а,а Знак Знак Знак Знак Знак Знак Знак Знак Знак Знак Знак Знак,а Знак Знак Знак,а1,а Знак Знак Знак Знак Знак Знак Знак Знак Знак Знак Знак Знак Знак Знак,а Знак Знак,Обычный (Web)2,webb,Ch,C"/>
    <w:basedOn w:val="a"/>
    <w:link w:val="a6"/>
    <w:uiPriority w:val="99"/>
    <w:qFormat/>
    <w:rsid w:val="00810E9F"/>
    <w:pPr>
      <w:spacing w:before="100" w:beforeAutospacing="1" w:after="100" w:afterAutospacing="1"/>
    </w:pPr>
    <w:rPr>
      <w:snapToGrid/>
      <w:szCs w:val="24"/>
    </w:rPr>
  </w:style>
  <w:style w:type="character" w:styleId="a7">
    <w:name w:val="Hyperlink"/>
    <w:uiPriority w:val="99"/>
    <w:rsid w:val="00810E9F"/>
    <w:rPr>
      <w:color w:val="664433"/>
      <w:u w:val="single"/>
    </w:rPr>
  </w:style>
  <w:style w:type="character" w:customStyle="1" w:styleId="a6">
    <w:name w:val="Обычный (веб) Знак"/>
    <w:aliases w:val="Обычный (Web) Знак,Обычный (Web)1 Знак,а Знак,а Знак Знак Знак Знак Знак Знак Знак Знак Знак Знак Знак Знак Знак,а Знак Знак Знак Знак,а1 Знак,а Знак Знак Знак Знак Знак Знак Знак Знак Знак Знак Знак Знак Знак Знак Знак,webb Знак"/>
    <w:link w:val="a5"/>
    <w:uiPriority w:val="99"/>
    <w:locked/>
    <w:rsid w:val="00810E9F"/>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810E9F"/>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hyperlink" Target="https://www.tourister.ru/world/europe/belarus/city/logoisk/snow/2096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beltur.by" TargetMode="External"/><Relationship Id="rId5" Type="http://schemas.microsoft.com/office/2007/relationships/hdphoto" Target="media/hdphoto1.wdp"/><Relationship Id="rId10" Type="http://schemas.openxmlformats.org/officeDocument/2006/relationships/hyperlink" Target="https://logoisk.by" TargetMode="External"/><Relationship Id="rId4" Type="http://schemas.openxmlformats.org/officeDocument/2006/relationships/image" Target="media/image1.png"/><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54;&#1090;&#1095;&#1105;&#1090;&#1099;%20&#1080;&#1084;&#1091;&#1097;&#1077;&#1089;&#1090;&#1074;&#1086;\2023\344-&#1086;%20&#1058;&#1088;&#1072;&#1081;&#1087;%20(&#1055;&#1048;&#1050;%20&#1051;&#1086;&#1075;&#1086;&#1081;&#1089;&#1082;)\344-&#1086;%20&#1056;&#1072;&#1089;&#1095;&#1077;&#1090;%20&#1055;&#1048;&#1050;%20&#1051;&#1086;&#1075;&#1086;&#1081;&#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1"/>
            </a:pPr>
            <a:r>
              <a:rPr lang="ru-RU" sz="1400" b="1"/>
              <a:t>Восстановительная стоимость</a:t>
            </a:r>
          </a:p>
        </c:rich>
      </c:tx>
      <c:overlay val="1"/>
    </c:title>
    <c:autoTitleDeleted val="0"/>
    <c:plotArea>
      <c:layout>
        <c:manualLayout>
          <c:layoutTarget val="inner"/>
          <c:xMode val="edge"/>
          <c:yMode val="edge"/>
          <c:x val="0.24363032654638594"/>
          <c:y val="0.28470956619480076"/>
          <c:w val="0.49479289961337103"/>
          <c:h val="0.73093547723132413"/>
        </c:manualLayout>
      </c:layout>
      <c:pieChart>
        <c:varyColors val="1"/>
        <c:ser>
          <c:idx val="0"/>
          <c:order val="0"/>
          <c:tx>
            <c:strRef>
              <c:f>'ан СХФ'!$D$6</c:f>
              <c:strCache>
                <c:ptCount val="1"/>
                <c:pt idx="0">
                  <c:v>Восстановительная стоимость, руб.</c:v>
                </c:pt>
              </c:strCache>
            </c:strRef>
          </c:tx>
          <c:explosion val="36"/>
          <c:dPt>
            <c:idx val="0"/>
            <c:bubble3D val="0"/>
            <c:explosion val="29"/>
            <c:extLst xmlns:c16r2="http://schemas.microsoft.com/office/drawing/2015/06/chart">
              <c:ext xmlns:c16="http://schemas.microsoft.com/office/drawing/2014/chart" uri="{C3380CC4-5D6E-409C-BE32-E72D297353CC}">
                <c16:uniqueId val="{00000001-0AD0-4A55-AE35-D760408F4D14}"/>
              </c:ext>
            </c:extLst>
          </c:dPt>
          <c:dPt>
            <c:idx val="1"/>
            <c:bubble3D val="0"/>
            <c:explosion val="23"/>
            <c:extLst xmlns:c16r2="http://schemas.microsoft.com/office/drawing/2015/06/chart">
              <c:ext xmlns:c16="http://schemas.microsoft.com/office/drawing/2014/chart" uri="{C3380CC4-5D6E-409C-BE32-E72D297353CC}">
                <c16:uniqueId val="{00000003-0AD0-4A55-AE35-D760408F4D14}"/>
              </c:ext>
            </c:extLst>
          </c:dPt>
          <c:dPt>
            <c:idx val="2"/>
            <c:bubble3D val="0"/>
            <c:extLst xmlns:c16r2="http://schemas.microsoft.com/office/drawing/2015/06/chart">
              <c:ext xmlns:c16="http://schemas.microsoft.com/office/drawing/2014/chart" uri="{C3380CC4-5D6E-409C-BE32-E72D297353CC}">
                <c16:uniqueId val="{00000004-0AD0-4A55-AE35-D760408F4D14}"/>
              </c:ext>
            </c:extLst>
          </c:dPt>
          <c:dLbls>
            <c:dLbl>
              <c:idx val="0"/>
              <c:layout>
                <c:manualLayout>
                  <c:x val="1.5375086506691659E-2"/>
                  <c:y val="3.394629225192431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AD0-4A55-AE35-D760408F4D14}"/>
                </c:ext>
                <c:ext xmlns:c15="http://schemas.microsoft.com/office/drawing/2012/chart" uri="{CE6537A1-D6FC-4f65-9D91-7224C49458BB}"/>
              </c:extLst>
            </c:dLbl>
            <c:dLbl>
              <c:idx val="1"/>
              <c:layout>
                <c:manualLayout>
                  <c:x val="-1.9631082127897766E-2"/>
                  <c:y val="9.464906423454087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AD0-4A55-AE35-D760408F4D14}"/>
                </c:ext>
                <c:ext xmlns:c15="http://schemas.microsoft.com/office/drawing/2012/chart" uri="{CE6537A1-D6FC-4f65-9D91-7224C49458BB}"/>
              </c:extLst>
            </c:dLbl>
            <c:dLbl>
              <c:idx val="2"/>
              <c:layout>
                <c:manualLayout>
                  <c:x val="-2.8245242774350237E-2"/>
                  <c:y val="-9.8746281178452061E-4"/>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AD0-4A55-AE35-D760408F4D14}"/>
                </c:ext>
                <c:ext xmlns:c15="http://schemas.microsoft.com/office/drawing/2012/chart" uri="{CE6537A1-D6FC-4f65-9D91-7224C49458BB}"/>
              </c:extLst>
            </c:dLbl>
            <c:dLbl>
              <c:idx val="3"/>
              <c:layout>
                <c:manualLayout>
                  <c:x val="-2.6517098497675199E-2"/>
                  <c:y val="-1.434188306026437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AD0-4A55-AE35-D760408F4D14}"/>
                </c:ext>
                <c:ext xmlns:c15="http://schemas.microsoft.com/office/drawing/2012/chart" uri="{CE6537A1-D6FC-4f65-9D91-7224C49458BB}"/>
              </c:extLst>
            </c:dLbl>
            <c:dLbl>
              <c:idx val="4"/>
              <c:layout>
                <c:manualLayout>
                  <c:x val="-1.937650661393811E-3"/>
                  <c:y val="-0.1142767368336404"/>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0AD0-4A55-AE35-D760408F4D14}"/>
                </c:ext>
                <c:ext xmlns:c15="http://schemas.microsoft.com/office/drawing/2012/chart" uri="{CE6537A1-D6FC-4f65-9D91-7224C49458BB}"/>
              </c:extLst>
            </c:dLbl>
            <c:dLbl>
              <c:idx val="5"/>
              <c:layout>
                <c:manualLayout>
                  <c:x val="0.20863719783238213"/>
                  <c:y val="1.285982899341399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AD0-4A55-AE35-D760408F4D14}"/>
                </c:ext>
                <c:ext xmlns:c15="http://schemas.microsoft.com/office/drawing/2012/chart" uri="{CE6537A1-D6FC-4f65-9D91-7224C49458BB}">
                  <c15:layout>
                    <c:manualLayout>
                      <c:w val="0.23895074682993697"/>
                      <c:h val="0.10757937042180601"/>
                    </c:manualLayout>
                  </c15:layout>
                </c:ext>
              </c:extLst>
            </c:dLbl>
            <c:dLbl>
              <c:idx val="6"/>
              <c:layout>
                <c:manualLayout>
                  <c:x val="0.20578331793864887"/>
                  <c:y val="-7.77645808730317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0AD0-4A55-AE35-D760408F4D14}"/>
                </c:ext>
                <c:ext xmlns:c15="http://schemas.microsoft.com/office/drawing/2012/chart" uri="{CE6537A1-D6FC-4f65-9D91-7224C49458BB}">
                  <c15:layout>
                    <c:manualLayout>
                      <c:w val="0.32022965518795093"/>
                      <c:h val="0.16093828637413812"/>
                    </c:manualLayout>
                  </c15:layout>
                </c:ext>
              </c:extLst>
            </c:dLbl>
            <c:dLbl>
              <c:idx val="7"/>
              <c:delete val="1"/>
              <c:extLst xmlns:c16r2="http://schemas.microsoft.com/office/drawing/2015/06/chart">
                <c:ext xmlns:c16="http://schemas.microsoft.com/office/drawing/2014/chart" uri="{C3380CC4-5D6E-409C-BE32-E72D297353CC}">
                  <c16:uniqueId val="{00000009-0AD0-4A55-AE35-D760408F4D14}"/>
                </c:ext>
                <c:ext xmlns:c15="http://schemas.microsoft.com/office/drawing/2012/chart" uri="{CE6537A1-D6FC-4f65-9D91-7224C49458BB}"/>
              </c:extLst>
            </c:dLbl>
            <c:dLbl>
              <c:idx val="8"/>
              <c:layout>
                <c:manualLayout>
                  <c:x val="0.21545862058994278"/>
                  <c:y val="0.1845134332470198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0AD0-4A55-AE35-D760408F4D14}"/>
                </c:ext>
                <c:ext xmlns:c15="http://schemas.microsoft.com/office/drawing/2012/chart" uri="{CE6537A1-D6FC-4f65-9D91-7224C49458BB}"/>
              </c:extLst>
            </c:dLbl>
            <c:dLbl>
              <c:idx val="9"/>
              <c:layout>
                <c:manualLayout>
                  <c:x val="0.11037013532294891"/>
                  <c:y val="1.184828294191635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0AD0-4A55-AE35-D760408F4D14}"/>
                </c:ext>
                <c:ext xmlns:c15="http://schemas.microsoft.com/office/drawing/2012/chart" uri="{CE6537A1-D6FC-4f65-9D91-7224C49458BB}"/>
              </c:extLst>
            </c:dLbl>
            <c:numFmt formatCode="0.000%" sourceLinked="0"/>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'ан СХФ'!$B$7:$C$14</c:f>
              <c:strCache>
                <c:ptCount val="8"/>
                <c:pt idx="0">
                  <c:v> Здания</c:v>
                </c:pt>
                <c:pt idx="1">
                  <c:v> Сооружения</c:v>
                </c:pt>
                <c:pt idx="2">
                  <c:v> Передаточные устройства</c:v>
                </c:pt>
                <c:pt idx="3">
                  <c:v> Машины и оборудование</c:v>
                </c:pt>
                <c:pt idx="4">
                  <c:v> Транспортные средства</c:v>
                </c:pt>
                <c:pt idx="5">
                  <c:v> Инструмент</c:v>
                </c:pt>
                <c:pt idx="6">
                  <c:v> Производственный и хоз.инвентарь и прочее</c:v>
                </c:pt>
                <c:pt idx="7">
                  <c:v>Прочие</c:v>
                </c:pt>
              </c:strCache>
            </c:strRef>
          </c:cat>
          <c:val>
            <c:numRef>
              <c:f>'ан СХФ'!$E$7:$E$14</c:f>
              <c:numCache>
                <c:formatCode>0.000%</c:formatCode>
                <c:ptCount val="8"/>
                <c:pt idx="0">
                  <c:v>0.46034695560250755</c:v>
                </c:pt>
                <c:pt idx="1">
                  <c:v>0.33457507037181677</c:v>
                </c:pt>
                <c:pt idx="2">
                  <c:v>0.1082976698522798</c:v>
                </c:pt>
                <c:pt idx="3">
                  <c:v>5.6824204779812384E-2</c:v>
                </c:pt>
                <c:pt idx="4">
                  <c:v>3.2364446017485546E-2</c:v>
                </c:pt>
                <c:pt idx="5">
                  <c:v>3.6524077401609242E-5</c:v>
                </c:pt>
                <c:pt idx="6">
                  <c:v>7.5551292986963696E-3</c:v>
                </c:pt>
                <c:pt idx="7">
                  <c:v>0</c:v>
                </c:pt>
              </c:numCache>
            </c:numRef>
          </c:val>
          <c:extLst xmlns:c16r2="http://schemas.microsoft.com/office/drawing/2015/06/chart">
            <c:ext xmlns:c16="http://schemas.microsoft.com/office/drawing/2014/chart" uri="{C3380CC4-5D6E-409C-BE32-E72D297353CC}">
              <c16:uniqueId val="{0000000C-0AD0-4A55-AE35-D760408F4D14}"/>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700</Words>
  <Characters>3996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3</cp:revision>
  <dcterms:created xsi:type="dcterms:W3CDTF">2023-08-29T07:33:00Z</dcterms:created>
  <dcterms:modified xsi:type="dcterms:W3CDTF">2023-08-30T11:43:00Z</dcterms:modified>
</cp:coreProperties>
</file>